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F15E2" w14:textId="122C9FD2" w:rsidR="00F2358D" w:rsidRPr="00B41541" w:rsidRDefault="00F2358D" w:rsidP="00F2358D">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Meeting </w:t>
      </w:r>
      <w:r>
        <w:rPr>
          <w:rFonts w:ascii="Arial" w:hAnsi="Arial" w:cs="Arial"/>
          <w:b/>
          <w:noProof/>
          <w:sz w:val="24"/>
          <w:szCs w:val="24"/>
          <w:lang w:eastAsia="en-US"/>
        </w:rPr>
        <w:t>#92</w:t>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Pr="00B41541">
        <w:rPr>
          <w:rFonts w:ascii="Arial" w:hAnsi="Arial" w:cs="Arial"/>
          <w:b/>
          <w:noProof/>
          <w:sz w:val="24"/>
          <w:szCs w:val="24"/>
          <w:lang w:eastAsia="en-US"/>
        </w:rPr>
        <w:t>R1-</w:t>
      </w:r>
      <w:r w:rsidRPr="00B41541">
        <w:rPr>
          <w:rFonts w:ascii="Arial" w:eastAsia="맑은 고딕" w:hAnsi="Arial" w:cs="Arial"/>
          <w:b/>
          <w:noProof/>
          <w:sz w:val="24"/>
          <w:szCs w:val="24"/>
          <w:lang w:eastAsia="ko-KR"/>
        </w:rPr>
        <w:t>1</w:t>
      </w:r>
      <w:r>
        <w:rPr>
          <w:rFonts w:ascii="Arial" w:eastAsia="맑은 고딕" w:hAnsi="Arial" w:cs="Arial"/>
          <w:b/>
          <w:noProof/>
          <w:sz w:val="24"/>
          <w:szCs w:val="24"/>
          <w:lang w:eastAsia="ko-KR"/>
        </w:rPr>
        <w:t>8</w:t>
      </w:r>
      <w:r w:rsidR="00DE241F">
        <w:rPr>
          <w:rFonts w:ascii="Arial" w:eastAsia="맑은 고딕" w:hAnsi="Arial" w:cs="Arial"/>
          <w:b/>
          <w:noProof/>
          <w:sz w:val="24"/>
          <w:szCs w:val="24"/>
          <w:lang w:eastAsia="ko-KR"/>
        </w:rPr>
        <w:t>02147</w:t>
      </w:r>
    </w:p>
    <w:p w14:paraId="36B99C8E" w14:textId="77777777" w:rsidR="009114C0" w:rsidRDefault="009114C0" w:rsidP="009114C0">
      <w:pPr>
        <w:widowControl w:val="0"/>
        <w:tabs>
          <w:tab w:val="left" w:pos="1985"/>
        </w:tabs>
        <w:rPr>
          <w:rFonts w:ascii="Arial" w:hAnsi="Arial" w:cs="Arial"/>
          <w:b/>
          <w:sz w:val="24"/>
          <w:szCs w:val="24"/>
          <w:lang w:eastAsia="ko-KR"/>
        </w:rPr>
      </w:pPr>
      <w:r w:rsidRPr="000A1524">
        <w:rPr>
          <w:rFonts w:ascii="Arial" w:eastAsia="MS Mincho" w:hAnsi="Arial" w:cs="Arial"/>
          <w:b/>
          <w:bCs/>
          <w:sz w:val="24"/>
          <w:szCs w:val="24"/>
        </w:rPr>
        <w:t xml:space="preserve">Athens, Greece, </w:t>
      </w:r>
      <w:r>
        <w:rPr>
          <w:rFonts w:ascii="Arial" w:eastAsia="MS Mincho" w:hAnsi="Arial" w:cs="Arial"/>
          <w:b/>
          <w:bCs/>
          <w:sz w:val="24"/>
          <w:szCs w:val="24"/>
        </w:rPr>
        <w:t>February 26</w:t>
      </w:r>
      <w:r w:rsidRPr="00101863">
        <w:rPr>
          <w:rFonts w:ascii="Arial" w:eastAsia="MS Mincho" w:hAnsi="Arial" w:cs="Arial"/>
          <w:b/>
          <w:bCs/>
          <w:sz w:val="24"/>
          <w:szCs w:val="24"/>
          <w:vertAlign w:val="superscript"/>
        </w:rPr>
        <w:t>th</w:t>
      </w:r>
      <w:r>
        <w:rPr>
          <w:rFonts w:ascii="Arial" w:hAnsi="Arial" w:cs="Arial"/>
          <w:b/>
          <w:sz w:val="24"/>
          <w:szCs w:val="24"/>
          <w:lang w:eastAsia="ko-KR"/>
        </w:rPr>
        <w:t xml:space="preserve"> – March 2</w:t>
      </w:r>
      <w:r>
        <w:rPr>
          <w:rFonts w:ascii="Arial" w:hAnsi="Arial" w:cs="Arial"/>
          <w:b/>
          <w:sz w:val="24"/>
          <w:szCs w:val="24"/>
          <w:vertAlign w:val="superscript"/>
          <w:lang w:eastAsia="ko-KR"/>
        </w:rPr>
        <w:t>nd</w:t>
      </w:r>
      <w:r>
        <w:rPr>
          <w:rFonts w:ascii="Arial" w:hAnsi="Arial" w:cs="Arial"/>
          <w:b/>
          <w:sz w:val="24"/>
          <w:szCs w:val="24"/>
          <w:lang w:eastAsia="ko-KR"/>
        </w:rPr>
        <w:t>, 2018</w:t>
      </w:r>
    </w:p>
    <w:p w14:paraId="6B8FA6CB" w14:textId="77777777" w:rsidR="00F2358D" w:rsidRPr="009114C0" w:rsidRDefault="00F2358D" w:rsidP="00F2358D">
      <w:pPr>
        <w:widowControl w:val="0"/>
        <w:tabs>
          <w:tab w:val="left" w:pos="1985"/>
        </w:tabs>
        <w:rPr>
          <w:rFonts w:ascii="Arial" w:hAnsi="Arial" w:cs="Arial"/>
          <w:b/>
          <w:sz w:val="24"/>
          <w:szCs w:val="24"/>
          <w:lang w:eastAsia="ko-KR"/>
        </w:rPr>
      </w:pPr>
    </w:p>
    <w:p w14:paraId="00FEA1FA" w14:textId="77777777" w:rsidR="00F2358D" w:rsidRPr="00B41541" w:rsidRDefault="00F2358D" w:rsidP="00F2358D">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43989A69" w14:textId="1765612C" w:rsidR="00F2358D" w:rsidRPr="00B41541" w:rsidRDefault="00F2358D" w:rsidP="00F2358D">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w:t>
      </w:r>
      <w:r w:rsidR="00B02D8D" w:rsidRPr="00B02D8D">
        <w:rPr>
          <w:rFonts w:cs="Arial"/>
          <w:b/>
          <w:sz w:val="24"/>
          <w:szCs w:val="24"/>
          <w:lang w:eastAsia="ko-KR"/>
        </w:rPr>
        <w:t xml:space="preserve">Discussion on </w:t>
      </w:r>
      <w:r w:rsidR="00B02D8D">
        <w:rPr>
          <w:rFonts w:cs="Arial"/>
          <w:b/>
          <w:sz w:val="24"/>
          <w:szCs w:val="24"/>
          <w:lang w:eastAsia="ko-KR"/>
        </w:rPr>
        <w:t>DM-RS</w:t>
      </w:r>
      <w:r w:rsidR="00B02D8D" w:rsidRPr="00B02D8D">
        <w:rPr>
          <w:rFonts w:cs="Arial"/>
          <w:b/>
          <w:sz w:val="24"/>
          <w:szCs w:val="24"/>
          <w:lang w:eastAsia="ko-KR"/>
        </w:rPr>
        <w:t xml:space="preserve"> in high speed train scenario</w:t>
      </w:r>
    </w:p>
    <w:p w14:paraId="50687687" w14:textId="028DBD72" w:rsidR="00F2358D" w:rsidRPr="00B41541" w:rsidRDefault="00F2358D" w:rsidP="00F2358D">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Agenda item:    7.</w:t>
      </w:r>
      <w:r w:rsidR="009B1FB7">
        <w:rPr>
          <w:rFonts w:cs="Arial"/>
          <w:b/>
          <w:sz w:val="24"/>
          <w:szCs w:val="24"/>
          <w:lang w:eastAsia="ko-KR"/>
        </w:rPr>
        <w:t>1</w:t>
      </w:r>
      <w:r>
        <w:rPr>
          <w:rFonts w:cs="Arial"/>
          <w:b/>
          <w:sz w:val="24"/>
          <w:szCs w:val="24"/>
          <w:lang w:eastAsia="ko-KR"/>
        </w:rPr>
        <w:t>.2</w:t>
      </w:r>
      <w:r w:rsidR="009B1FB7">
        <w:rPr>
          <w:rFonts w:cs="Arial"/>
          <w:b/>
          <w:sz w:val="24"/>
          <w:szCs w:val="24"/>
          <w:lang w:eastAsia="ko-KR"/>
        </w:rPr>
        <w:t>.3.8</w:t>
      </w:r>
    </w:p>
    <w:bookmarkEnd w:id="0"/>
    <w:p w14:paraId="6517A5D3" w14:textId="77777777" w:rsidR="003731EE" w:rsidRPr="00AA30A7" w:rsidRDefault="003731EE" w:rsidP="003731EE">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55BC2B9" w14:textId="7C5F787C" w:rsidR="003731EE" w:rsidRDefault="003731EE" w:rsidP="003731EE">
      <w:pPr>
        <w:rPr>
          <w:szCs w:val="22"/>
          <w:lang w:eastAsia="ko-KR"/>
        </w:rPr>
      </w:pPr>
      <w:r>
        <w:rPr>
          <w:szCs w:val="22"/>
          <w:lang w:eastAsia="ko-KR"/>
        </w:rPr>
        <w:t xml:space="preserve">The </w:t>
      </w:r>
      <w:r w:rsidR="00506EAC">
        <w:rPr>
          <w:rFonts w:hint="eastAsia"/>
          <w:szCs w:val="22"/>
          <w:lang w:eastAsia="ko-KR"/>
        </w:rPr>
        <w:t xml:space="preserve">DMRS </w:t>
      </w:r>
      <w:r w:rsidR="00506EAC">
        <w:rPr>
          <w:szCs w:val="22"/>
          <w:lang w:eastAsia="ko-KR"/>
        </w:rPr>
        <w:t xml:space="preserve">mapping to physical resources </w:t>
      </w:r>
      <w:r w:rsidR="00D61ABF">
        <w:rPr>
          <w:szCs w:val="22"/>
          <w:lang w:eastAsia="ko-KR"/>
        </w:rPr>
        <w:t>for PDSCH is</w:t>
      </w:r>
      <w:r>
        <w:rPr>
          <w:szCs w:val="22"/>
          <w:lang w:eastAsia="ko-KR"/>
        </w:rPr>
        <w:t xml:space="preserve"> as follows [1</w:t>
      </w:r>
      <w:r w:rsidR="00D61ABF">
        <w:rPr>
          <w:szCs w:val="22"/>
          <w:lang w:eastAsia="ko-KR"/>
        </w:rPr>
        <w:t>].</w:t>
      </w:r>
    </w:p>
    <w:p w14:paraId="40E5EDA0" w14:textId="77777777" w:rsidR="00E2030E" w:rsidRPr="003731EE" w:rsidRDefault="00E2030E" w:rsidP="00E2030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2030E" w:rsidRPr="007903CF" w14:paraId="7F928318" w14:textId="77777777" w:rsidTr="004F5E94">
        <w:tc>
          <w:tcPr>
            <w:tcW w:w="9962" w:type="dxa"/>
            <w:shd w:val="clear" w:color="auto" w:fill="auto"/>
          </w:tcPr>
          <w:p w14:paraId="4FD9E03A" w14:textId="2FCE6D4E" w:rsidR="00E2030E" w:rsidRDefault="00D61ABF" w:rsidP="004F5E94">
            <w:pPr>
              <w:tabs>
                <w:tab w:val="left" w:pos="720"/>
              </w:tabs>
            </w:pPr>
            <w:r>
              <w:rPr>
                <w:b/>
                <w:u w:val="single"/>
              </w:rPr>
              <w:t>7.4.1.1.2</w:t>
            </w:r>
            <w:r w:rsidR="00E2030E" w:rsidRPr="00BC1A0F">
              <w:rPr>
                <w:b/>
                <w:u w:val="single"/>
              </w:rPr>
              <w:t xml:space="preserve">. </w:t>
            </w:r>
            <w:r w:rsidRPr="00D61ABF">
              <w:rPr>
                <w:b/>
                <w:u w:val="single"/>
              </w:rPr>
              <w:t xml:space="preserve">Mapping to physical resources </w:t>
            </w:r>
            <w:r w:rsidR="00E2030E">
              <w:rPr>
                <w:b/>
                <w:u w:val="single"/>
              </w:rPr>
              <w:t>[1]</w:t>
            </w:r>
          </w:p>
          <w:p w14:paraId="451C9AFC" w14:textId="77777777" w:rsidR="00D61ABF" w:rsidRDefault="00D61ABF" w:rsidP="00D61ABF">
            <w:r>
              <w:t xml:space="preserve">The UE shall assume the PDSCH DM-RS being mapped to physical resources according to configuration type 1 or configuration type 2 as given by the higher-layer parameter </w:t>
            </w:r>
            <w:r w:rsidRPr="00F04B9B">
              <w:rPr>
                <w:i/>
              </w:rPr>
              <w:t>DL</w:t>
            </w:r>
            <w:r>
              <w:rPr>
                <w:i/>
              </w:rPr>
              <w:t>-</w:t>
            </w:r>
            <w:r w:rsidRPr="00F04B9B">
              <w:rPr>
                <w:i/>
              </w:rPr>
              <w:t>DMRS</w:t>
            </w:r>
            <w:r>
              <w:rPr>
                <w:i/>
              </w:rPr>
              <w:t>-</w:t>
            </w:r>
            <w:proofErr w:type="spellStart"/>
            <w:r w:rsidRPr="00F04B9B">
              <w:rPr>
                <w:i/>
              </w:rPr>
              <w:t>config</w:t>
            </w:r>
            <w:proofErr w:type="spellEnd"/>
            <w:r>
              <w:rPr>
                <w:i/>
              </w:rPr>
              <w:t>-</w:t>
            </w:r>
            <w:r w:rsidRPr="00F04B9B">
              <w:rPr>
                <w:i/>
              </w:rPr>
              <w:t>type</w:t>
            </w:r>
            <w:r>
              <w:t>.</w:t>
            </w:r>
          </w:p>
          <w:p w14:paraId="75727ED3" w14:textId="77777777" w:rsidR="00D61ABF" w:rsidRDefault="00D61ABF" w:rsidP="00D61ABF">
            <w:r>
              <w:t>The UE shall assume t</w:t>
            </w:r>
            <w:r w:rsidRPr="00C12953">
              <w:t>he</w:t>
            </w:r>
            <w:r>
              <w:t xml:space="preserve"> sequence </w:t>
            </w:r>
            <w:r w:rsidRPr="00C83905">
              <w:rPr>
                <w:position w:val="-10"/>
              </w:rPr>
              <w:object w:dxaOrig="760" w:dyaOrig="380" w14:anchorId="54F37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9.2pt" o:ole="">
                  <v:imagedata r:id="rId8" o:title=""/>
                </v:shape>
                <o:OLEObject Type="Embed" ProgID="Equation.3" ShapeID="_x0000_i1025" DrawAspect="Content" ObjectID="_1580373490" r:id="rId9"/>
              </w:object>
            </w:r>
            <w:r>
              <w:t xml:space="preserve"> is scaled by a factor </w:t>
            </w:r>
            <w:r w:rsidRPr="00A37594">
              <w:rPr>
                <w:position w:val="-10"/>
              </w:rPr>
              <w:object w:dxaOrig="680" w:dyaOrig="340" w14:anchorId="1A8BC48A">
                <v:shape id="_x0000_i1026" type="#_x0000_t75" style="width:34.2pt;height:17.4pt" o:ole="">
                  <v:imagedata r:id="rId10" o:title=""/>
                </v:shape>
                <o:OLEObject Type="Embed" ProgID="Equation.3" ShapeID="_x0000_i1026" DrawAspect="Content" ObjectID="_1580373491" r:id="rId11"/>
              </w:object>
            </w:r>
            <w:r>
              <w:t xml:space="preserve"> to conform with the transmission power specified in [TS38.213] and mapped to resource elements </w:t>
            </w:r>
            <w:r w:rsidRPr="00244553">
              <w:rPr>
                <w:position w:val="-14"/>
              </w:rPr>
              <w:object w:dxaOrig="680" w:dyaOrig="340" w14:anchorId="7EFF9395">
                <v:shape id="_x0000_i1027" type="#_x0000_t75" style="width:33.6pt;height:18pt" o:ole="">
                  <v:imagedata r:id="rId12" o:title=""/>
                </v:shape>
                <o:OLEObject Type="Embed" ProgID="Equation.3" ShapeID="_x0000_i1027" DrawAspect="Content" ObjectID="_1580373492" r:id="rId13"/>
              </w:object>
            </w:r>
            <w:r>
              <w:t xml:space="preserve"> according to</w:t>
            </w:r>
          </w:p>
          <w:p w14:paraId="44785738" w14:textId="77777777" w:rsidR="00D61ABF" w:rsidRPr="00BE74C1" w:rsidRDefault="00D61ABF" w:rsidP="00D61ABF">
            <w:pPr>
              <w:pStyle w:val="EQ"/>
              <w:jc w:val="center"/>
              <w:rPr>
                <w:position w:val="-10"/>
              </w:rPr>
            </w:pPr>
            <w:r w:rsidRPr="00667AEC">
              <w:rPr>
                <w:position w:val="-72"/>
              </w:rPr>
              <w:object w:dxaOrig="3720" w:dyaOrig="1980" w14:anchorId="2DCDB6D6">
                <v:shape id="_x0000_i1028" type="#_x0000_t75" style="width:186pt;height:98.4pt" o:ole="">
                  <v:imagedata r:id="rId14" o:title=""/>
                </v:shape>
                <o:OLEObject Type="Embed" ProgID="Equation.3" ShapeID="_x0000_i1028" DrawAspect="Content" ObjectID="_1580373493" r:id="rId15"/>
              </w:object>
            </w:r>
          </w:p>
          <w:p w14:paraId="57B6CED7" w14:textId="77777777" w:rsidR="00D61ABF" w:rsidRDefault="00D61ABF" w:rsidP="00D61ABF">
            <w:r>
              <w:t xml:space="preserve">where </w:t>
            </w:r>
            <w:r w:rsidRPr="00817ADE">
              <w:rPr>
                <w:position w:val="-10"/>
              </w:rPr>
              <w:object w:dxaOrig="580" w:dyaOrig="300" w14:anchorId="47EC0563">
                <v:shape id="_x0000_i1029" type="#_x0000_t75" style="width:29.4pt;height:15.6pt" o:ole="">
                  <v:imagedata r:id="rId16" o:title=""/>
                </v:shape>
                <o:OLEObject Type="Embed" ProgID="Equation.3" ShapeID="_x0000_i1029" DrawAspect="Content" ObjectID="_1580373494" r:id="rId17"/>
              </w:object>
            </w:r>
            <w:r>
              <w:t xml:space="preserve">, </w:t>
            </w:r>
            <w:r w:rsidRPr="00817ADE">
              <w:rPr>
                <w:position w:val="-10"/>
              </w:rPr>
              <w:object w:dxaOrig="520" w:dyaOrig="300" w14:anchorId="4497720B">
                <v:shape id="_x0000_i1030" type="#_x0000_t75" style="width:25.8pt;height:15.6pt" o:ole="">
                  <v:imagedata r:id="rId18" o:title=""/>
                </v:shape>
                <o:OLEObject Type="Embed" ProgID="Equation.3" ShapeID="_x0000_i1030" DrawAspect="Content" ObjectID="_1580373495" r:id="rId19"/>
              </w:object>
            </w:r>
            <w:r>
              <w:t xml:space="preserve">, </w:t>
            </w:r>
            <w:r w:rsidRPr="00ED1FAF">
              <w:rPr>
                <w:position w:val="-4"/>
              </w:rPr>
              <w:object w:dxaOrig="200" w:dyaOrig="220" w14:anchorId="00FEE9FD">
                <v:shape id="_x0000_i1031" type="#_x0000_t75" style="width:10.2pt;height:11.4pt" o:ole="">
                  <v:imagedata r:id="rId20" o:title=""/>
                </v:shape>
                <o:OLEObject Type="Embed" ProgID="Equation.3" ShapeID="_x0000_i1031" DrawAspect="Content" ObjectID="_1580373496" r:id="rId21"/>
              </w:object>
            </w:r>
            <w:r>
              <w:t xml:space="preserve">, and </w:t>
            </w:r>
            <w:r w:rsidRPr="0000123F">
              <w:rPr>
                <w:position w:val="-6"/>
              </w:rPr>
              <w:object w:dxaOrig="200" w:dyaOrig="240" w14:anchorId="4E634828">
                <v:shape id="_x0000_i1032" type="#_x0000_t75" style="width:10.2pt;height:12pt" o:ole="">
                  <v:imagedata r:id="rId22" o:title=""/>
                </v:shape>
                <o:OLEObject Type="Embed" ProgID="Equation.3" ShapeID="_x0000_i1032" DrawAspect="Content" ObjectID="_1580373497" r:id="rId23"/>
              </w:object>
            </w:r>
            <w:r>
              <w:t xml:space="preserve"> are given by Tables 7.4.1.1.2-1 and 7.4.1.1.2-2</w:t>
            </w:r>
            <w:r w:rsidRPr="005E58F7">
              <w:t xml:space="preserve"> </w:t>
            </w:r>
            <w:r>
              <w:t>and the following conditions are fulfilled:</w:t>
            </w:r>
          </w:p>
          <w:p w14:paraId="1B2A0398" w14:textId="77777777" w:rsidR="00D61ABF" w:rsidRDefault="00D61ABF" w:rsidP="00D61ABF">
            <w:pPr>
              <w:pStyle w:val="B1"/>
            </w:pPr>
            <w:r>
              <w:t>-</w:t>
            </w:r>
            <w:r>
              <w:tab/>
              <w:t>the resource elements are within the common resource blocks allocated for PDSCH transmission</w:t>
            </w:r>
          </w:p>
          <w:p w14:paraId="35D8B0DE" w14:textId="77777777" w:rsidR="00D61ABF" w:rsidRDefault="00D61ABF" w:rsidP="00D61ABF">
            <w:r>
              <w:t xml:space="preserve">The reference point for </w:t>
            </w:r>
            <w:r w:rsidRPr="00881704">
              <w:rPr>
                <w:position w:val="-6"/>
              </w:rPr>
              <w:object w:dxaOrig="180" w:dyaOrig="260" w14:anchorId="51D3F7AE">
                <v:shape id="_x0000_i1033" type="#_x0000_t75" style="width:8.4pt;height:12.6pt" o:ole="">
                  <v:imagedata r:id="rId24" o:title=""/>
                </v:shape>
                <o:OLEObject Type="Embed" ProgID="Equation.3" ShapeID="_x0000_i1033" DrawAspect="Content" ObjectID="_1580373498" r:id="rId25"/>
              </w:object>
            </w:r>
            <w:r>
              <w:t xml:space="preserve"> is </w:t>
            </w:r>
          </w:p>
          <w:p w14:paraId="5505F589" w14:textId="77777777" w:rsidR="00D61ABF" w:rsidRDefault="00D61ABF" w:rsidP="00D61ABF">
            <w:pPr>
              <w:pStyle w:val="B1"/>
            </w:pPr>
            <w:r>
              <w:t>-</w:t>
            </w:r>
            <w:r>
              <w:tab/>
              <w:t>for PDSCH transmission carrying RMSI, subcarrier 0 of the lowest-numbered common resource block in the CORESET configured by the PBCH</w:t>
            </w:r>
          </w:p>
          <w:p w14:paraId="60A96E25" w14:textId="77777777" w:rsidR="00D61ABF" w:rsidRDefault="00D61ABF" w:rsidP="00D61ABF">
            <w:pPr>
              <w:pStyle w:val="B1"/>
            </w:pPr>
            <w:r>
              <w:t>-</w:t>
            </w:r>
            <w:r>
              <w:tab/>
              <w:t xml:space="preserve">otherwise, subcarrier 0 in common resource block 0 </w:t>
            </w:r>
          </w:p>
          <w:p w14:paraId="5EF3786D" w14:textId="77777777" w:rsidR="00D61ABF" w:rsidRDefault="00D61ABF" w:rsidP="00D61ABF">
            <w:r>
              <w:t xml:space="preserve">The reference point for </w:t>
            </w:r>
            <w:r w:rsidRPr="0025210E">
              <w:rPr>
                <w:position w:val="-6"/>
              </w:rPr>
              <w:object w:dxaOrig="139" w:dyaOrig="260" w14:anchorId="4BD1A8A6">
                <v:shape id="_x0000_i1034" type="#_x0000_t75" style="width:6.6pt;height:13.2pt" o:ole="">
                  <v:imagedata r:id="rId26" o:title=""/>
                </v:shape>
                <o:OLEObject Type="Embed" ProgID="Equation.3" ShapeID="_x0000_i1034" DrawAspect="Content" ObjectID="_1580373499" r:id="rId27"/>
              </w:object>
            </w:r>
            <w:r>
              <w:t xml:space="preserve"> and the position </w:t>
            </w:r>
            <w:r w:rsidRPr="00E616C7">
              <w:rPr>
                <w:position w:val="-10"/>
              </w:rPr>
              <w:object w:dxaOrig="200" w:dyaOrig="300" w14:anchorId="453FCB5C">
                <v:shape id="_x0000_i1035" type="#_x0000_t75" style="width:10.2pt;height:15.6pt" o:ole="">
                  <v:imagedata r:id="rId28" o:title=""/>
                </v:shape>
                <o:OLEObject Type="Embed" ProgID="Equation.3" ShapeID="_x0000_i1035" DrawAspect="Content" ObjectID="_1580373500" r:id="rId29"/>
              </w:object>
            </w:r>
            <w:r>
              <w:t xml:space="preserve"> of the first DM-RS symbol depends on the mapping type:</w:t>
            </w:r>
          </w:p>
          <w:p w14:paraId="3D5FD885" w14:textId="77777777" w:rsidR="00D61ABF" w:rsidRDefault="00D61ABF" w:rsidP="00D61ABF">
            <w:pPr>
              <w:pStyle w:val="B1"/>
            </w:pPr>
            <w:r>
              <w:t>-</w:t>
            </w:r>
            <w:r>
              <w:tab/>
              <w:t xml:space="preserve">for PDSCH mapping type A: </w:t>
            </w:r>
          </w:p>
          <w:p w14:paraId="57AA01F9" w14:textId="77777777" w:rsidR="00D10836" w:rsidRDefault="00D10836" w:rsidP="00D10836">
            <w:pPr>
              <w:pStyle w:val="B2"/>
            </w:pPr>
            <w:r>
              <w:t>-</w:t>
            </w:r>
            <w:r>
              <w:tab/>
            </w:r>
            <w:r w:rsidRPr="0025210E">
              <w:rPr>
                <w:position w:val="-6"/>
              </w:rPr>
              <w:object w:dxaOrig="139" w:dyaOrig="260" w14:anchorId="0B272B2A">
                <v:shape id="_x0000_i1036" type="#_x0000_t75" style="width:6.6pt;height:13.2pt" o:ole="">
                  <v:imagedata r:id="rId26" o:title=""/>
                </v:shape>
                <o:OLEObject Type="Embed" ProgID="Equation.3" ShapeID="_x0000_i1036" DrawAspect="Content" ObjectID="_1580373501" r:id="rId30"/>
              </w:object>
            </w:r>
            <w:r>
              <w:t xml:space="preserve"> is defined relative to the start of the slot</w:t>
            </w:r>
          </w:p>
          <w:p w14:paraId="301A811E" w14:textId="77777777" w:rsidR="00D10836" w:rsidRDefault="00D10836" w:rsidP="00D10836">
            <w:pPr>
              <w:pStyle w:val="B2"/>
            </w:pPr>
            <w:r>
              <w:t>-</w:t>
            </w:r>
            <w:r>
              <w:tab/>
            </w:r>
            <w:r w:rsidRPr="009A1E80">
              <w:rPr>
                <w:position w:val="-10"/>
              </w:rPr>
              <w:object w:dxaOrig="520" w:dyaOrig="300" w14:anchorId="78AF9CC2">
                <v:shape id="_x0000_i1037" type="#_x0000_t75" style="width:25.8pt;height:15.6pt" o:ole="">
                  <v:imagedata r:id="rId31" o:title=""/>
                </v:shape>
                <o:OLEObject Type="Embed" ProgID="Equation.3" ShapeID="_x0000_i1037" DrawAspect="Content" ObjectID="_1580373502" r:id="rId32"/>
              </w:object>
            </w:r>
            <w:r>
              <w:t xml:space="preserve">if the higher-layer parameter </w:t>
            </w:r>
            <w:r w:rsidRPr="001747FF">
              <w:rPr>
                <w:i/>
              </w:rPr>
              <w:t>DL</w:t>
            </w:r>
            <w:r>
              <w:rPr>
                <w:i/>
              </w:rPr>
              <w:t>-</w:t>
            </w:r>
            <w:r w:rsidRPr="00F064D4">
              <w:rPr>
                <w:i/>
              </w:rPr>
              <w:t>DMRS</w:t>
            </w:r>
            <w:r>
              <w:rPr>
                <w:i/>
              </w:rPr>
              <w:t>-</w:t>
            </w:r>
            <w:proofErr w:type="spellStart"/>
            <w:r w:rsidRPr="00F064D4">
              <w:rPr>
                <w:i/>
              </w:rPr>
              <w:t>typeA</w:t>
            </w:r>
            <w:proofErr w:type="spellEnd"/>
            <w:r>
              <w:rPr>
                <w:i/>
              </w:rPr>
              <w:t>-</w:t>
            </w:r>
            <w:proofErr w:type="spellStart"/>
            <w:r w:rsidRPr="00F064D4">
              <w:rPr>
                <w:i/>
              </w:rPr>
              <w:t>pos</w:t>
            </w:r>
            <w:proofErr w:type="spellEnd"/>
            <w:r>
              <w:t xml:space="preserve"> equals 3 and </w:t>
            </w:r>
            <w:r w:rsidRPr="009A1E80">
              <w:rPr>
                <w:position w:val="-10"/>
              </w:rPr>
              <w:object w:dxaOrig="540" w:dyaOrig="300" w14:anchorId="041DA8A7">
                <v:shape id="_x0000_i1038" type="#_x0000_t75" style="width:27.6pt;height:15.6pt" o:ole="">
                  <v:imagedata r:id="rId33" o:title=""/>
                </v:shape>
                <o:OLEObject Type="Embed" ProgID="Equation.3" ShapeID="_x0000_i1038" DrawAspect="Content" ObjectID="_1580373503" r:id="rId34"/>
              </w:object>
            </w:r>
            <w:r>
              <w:t xml:space="preserve"> otherwise</w:t>
            </w:r>
          </w:p>
          <w:p w14:paraId="03D81AFE" w14:textId="77777777" w:rsidR="00D10836" w:rsidRDefault="00D10836" w:rsidP="00D10836">
            <w:pPr>
              <w:pStyle w:val="B1"/>
            </w:pPr>
            <w:r>
              <w:t>-</w:t>
            </w:r>
            <w:r>
              <w:tab/>
              <w:t xml:space="preserve">for PDSCH mapping type B: </w:t>
            </w:r>
          </w:p>
          <w:p w14:paraId="14903381" w14:textId="77777777" w:rsidR="00D10836" w:rsidRDefault="00D10836" w:rsidP="00D10836">
            <w:pPr>
              <w:pStyle w:val="B2"/>
            </w:pPr>
            <w:r>
              <w:lastRenderedPageBreak/>
              <w:t>-</w:t>
            </w:r>
            <w:r>
              <w:tab/>
            </w:r>
            <w:r w:rsidRPr="0025210E">
              <w:rPr>
                <w:position w:val="-6"/>
              </w:rPr>
              <w:object w:dxaOrig="139" w:dyaOrig="260" w14:anchorId="00DBD0FC">
                <v:shape id="_x0000_i1039" type="#_x0000_t75" style="width:6.6pt;height:13.2pt" o:ole="">
                  <v:imagedata r:id="rId26" o:title=""/>
                </v:shape>
                <o:OLEObject Type="Embed" ProgID="Equation.3" ShapeID="_x0000_i1039" DrawAspect="Content" ObjectID="_1580373504" r:id="rId35"/>
              </w:object>
            </w:r>
            <w:r>
              <w:t xml:space="preserve"> is defined relative to the start of the scheduled PDSCH resources</w:t>
            </w:r>
          </w:p>
          <w:p w14:paraId="7B149C4C" w14:textId="77777777" w:rsidR="00D10836" w:rsidRDefault="00D10836" w:rsidP="00D10836">
            <w:pPr>
              <w:pStyle w:val="B2"/>
            </w:pPr>
            <w:r>
              <w:t>-</w:t>
            </w:r>
            <w:r>
              <w:tab/>
            </w:r>
            <w:r w:rsidRPr="009A1E80">
              <w:rPr>
                <w:position w:val="-10"/>
              </w:rPr>
              <w:object w:dxaOrig="520" w:dyaOrig="300" w14:anchorId="0BECFD83">
                <v:shape id="_x0000_i1040" type="#_x0000_t75" style="width:25.8pt;height:15.6pt" o:ole="">
                  <v:imagedata r:id="rId36" o:title=""/>
                </v:shape>
                <o:OLEObject Type="Embed" ProgID="Equation.3" ShapeID="_x0000_i1040" DrawAspect="Content" ObjectID="_1580373505" r:id="rId37"/>
              </w:object>
            </w:r>
            <w:r>
              <w:t xml:space="preserve"> </w:t>
            </w:r>
          </w:p>
          <w:p w14:paraId="2235A89E" w14:textId="60BD17E7" w:rsidR="00E2030E" w:rsidRPr="00FD0CF5" w:rsidRDefault="00D10836" w:rsidP="00D10836">
            <w:pPr>
              <w:rPr>
                <w:lang w:eastAsia="zh-CN"/>
              </w:rPr>
            </w:pPr>
            <w:r>
              <w:t xml:space="preserve">The position(s) of the DM-RS symbols is given by </w:t>
            </w:r>
            <w:r w:rsidRPr="0025210E">
              <w:rPr>
                <w:position w:val="-6"/>
              </w:rPr>
              <w:object w:dxaOrig="160" w:dyaOrig="300" w14:anchorId="1DC63348">
                <v:shape id="_x0000_i1041" type="#_x0000_t75" style="width:7.8pt;height:15.6pt" o:ole="">
                  <v:imagedata r:id="rId38" o:title=""/>
                </v:shape>
                <o:OLEObject Type="Embed" ProgID="Equation.3" ShapeID="_x0000_i1041" DrawAspect="Content" ObjectID="_1580373506" r:id="rId39"/>
              </w:object>
            </w:r>
            <w:r>
              <w:t xml:space="preserve"> and </w:t>
            </w:r>
            <w:r w:rsidRPr="003016C8">
              <w:t xml:space="preserve">signaled duration between the first OFDM symbol of the slot and </w:t>
            </w:r>
            <w:r>
              <w:t xml:space="preserve">the last OFDM symbol </w:t>
            </w:r>
            <w:r w:rsidRPr="003016C8">
              <w:t>scheduled PDSCH resources</w:t>
            </w:r>
            <w:r>
              <w:t xml:space="preserve"> in the slot </w:t>
            </w:r>
            <w:r w:rsidRPr="003016C8">
              <w:t>for PDSCH mapping type A, or the signaled duration of scheduled PDSCH resources for PDSCH mapping type B,</w:t>
            </w:r>
            <w:r>
              <w:t xml:space="preserve"> according to Tables 7.4.1.1.2-3 and 7.4.1.1.2-4. The case </w:t>
            </w:r>
            <w:r>
              <w:rPr>
                <w:i/>
              </w:rPr>
              <w:t>D</w:t>
            </w:r>
            <w:r w:rsidRPr="00B44BFE">
              <w:rPr>
                <w:i/>
              </w:rPr>
              <w:t>L-DMRS-add-</w:t>
            </w:r>
            <w:proofErr w:type="spellStart"/>
            <w:r w:rsidRPr="00B44BFE">
              <w:rPr>
                <w:i/>
              </w:rPr>
              <w:t>pos</w:t>
            </w:r>
            <w:proofErr w:type="spellEnd"/>
            <w:r>
              <w:t xml:space="preserve"> equal to 3 is only supported when </w:t>
            </w:r>
            <w:r>
              <w:rPr>
                <w:i/>
              </w:rPr>
              <w:t>D</w:t>
            </w:r>
            <w:r w:rsidRPr="001747FF">
              <w:rPr>
                <w:i/>
              </w:rPr>
              <w:t>L</w:t>
            </w:r>
            <w:r>
              <w:rPr>
                <w:i/>
              </w:rPr>
              <w:t>-</w:t>
            </w:r>
            <w:r w:rsidRPr="00F064D4">
              <w:rPr>
                <w:i/>
              </w:rPr>
              <w:t>DMRS</w:t>
            </w:r>
            <w:r>
              <w:rPr>
                <w:i/>
              </w:rPr>
              <w:t>-</w:t>
            </w:r>
            <w:proofErr w:type="spellStart"/>
            <w:r w:rsidRPr="00F064D4">
              <w:rPr>
                <w:i/>
              </w:rPr>
              <w:t>typeA</w:t>
            </w:r>
            <w:proofErr w:type="spellEnd"/>
            <w:r>
              <w:rPr>
                <w:i/>
              </w:rPr>
              <w:t>-</w:t>
            </w:r>
            <w:proofErr w:type="spellStart"/>
            <w:r w:rsidRPr="00F064D4">
              <w:rPr>
                <w:i/>
              </w:rPr>
              <w:t>pos</w:t>
            </w:r>
            <w:proofErr w:type="spellEnd"/>
            <w:r>
              <w:t xml:space="preserve"> is equal to 2. </w:t>
            </w:r>
            <w:r w:rsidR="00D61ABF">
              <w:t xml:space="preserve"> </w:t>
            </w:r>
          </w:p>
        </w:tc>
      </w:tr>
    </w:tbl>
    <w:p w14:paraId="32BC3DC9" w14:textId="77777777" w:rsidR="00E2030E" w:rsidRDefault="00E2030E" w:rsidP="00E2030E">
      <w:pPr>
        <w:rPr>
          <w:szCs w:val="22"/>
          <w:lang w:eastAsia="ko-KR"/>
        </w:rPr>
      </w:pPr>
    </w:p>
    <w:p w14:paraId="7A9B0A7A" w14:textId="33C18AC6" w:rsidR="00E2030E" w:rsidRDefault="00E2030E" w:rsidP="00E2030E">
      <w:pPr>
        <w:rPr>
          <w:szCs w:val="22"/>
          <w:lang w:eastAsia="ko-KR"/>
        </w:rPr>
      </w:pPr>
      <w:r>
        <w:rPr>
          <w:szCs w:val="22"/>
          <w:lang w:eastAsia="ko-KR"/>
        </w:rPr>
        <w:t xml:space="preserve">Based on the above description, </w:t>
      </w:r>
      <w:r w:rsidRPr="003631B9">
        <w:rPr>
          <w:szCs w:val="22"/>
          <w:lang w:eastAsia="ko-KR"/>
        </w:rPr>
        <w:t xml:space="preserve">we </w:t>
      </w:r>
      <w:r w:rsidR="00C350EE">
        <w:rPr>
          <w:szCs w:val="22"/>
          <w:lang w:eastAsia="ko-KR"/>
        </w:rPr>
        <w:t xml:space="preserve">discuss further issues on DM-RS mapping </w:t>
      </w:r>
      <w:r>
        <w:rPr>
          <w:szCs w:val="22"/>
          <w:lang w:eastAsia="ko-KR"/>
        </w:rPr>
        <w:t>considering high speed train</w:t>
      </w:r>
      <w:r w:rsidR="000B3C6F">
        <w:rPr>
          <w:szCs w:val="22"/>
          <w:lang w:eastAsia="ko-KR"/>
        </w:rPr>
        <w:t xml:space="preserve">(HST) </w:t>
      </w:r>
      <w:r>
        <w:rPr>
          <w:szCs w:val="22"/>
          <w:lang w:eastAsia="ko-KR"/>
        </w:rPr>
        <w:t>scenario in this contribution.</w:t>
      </w:r>
    </w:p>
    <w:p w14:paraId="28EDEEF2" w14:textId="77777777" w:rsidR="00E2030E" w:rsidRDefault="00E2030E" w:rsidP="00E2030E">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4AF480DF" w14:textId="77C4DABC" w:rsidR="00E2030E" w:rsidRDefault="00D61ABF" w:rsidP="00E2030E">
      <w:pPr>
        <w:pStyle w:val="2"/>
        <w:spacing w:before="180" w:after="180" w:line="240" w:lineRule="auto"/>
        <w:ind w:left="578" w:hanging="578"/>
        <w:rPr>
          <w:lang w:eastAsia="ko-KR"/>
        </w:rPr>
      </w:pPr>
      <w:r>
        <w:rPr>
          <w:lang w:eastAsia="ko-KR"/>
        </w:rPr>
        <w:t>DM-RS mapping to physical resources</w:t>
      </w:r>
      <w:r w:rsidR="00E2030E">
        <w:rPr>
          <w:lang w:eastAsia="ko-KR"/>
        </w:rPr>
        <w:t xml:space="preserve"> in </w:t>
      </w:r>
      <w:r w:rsidR="00E2030E">
        <w:rPr>
          <w:rFonts w:hint="eastAsia"/>
          <w:lang w:eastAsia="ko-KR"/>
        </w:rPr>
        <w:t>H</w:t>
      </w:r>
      <w:r w:rsidR="00E2030E">
        <w:rPr>
          <w:lang w:eastAsia="ko-KR"/>
        </w:rPr>
        <w:t>ST scenario</w:t>
      </w:r>
    </w:p>
    <w:p w14:paraId="578FE292" w14:textId="2E4A70CE" w:rsidR="00790722" w:rsidRDefault="00F679C9" w:rsidP="00E2030E">
      <w:pPr>
        <w:spacing w:after="120"/>
        <w:rPr>
          <w:lang w:eastAsia="ko-KR"/>
        </w:rPr>
      </w:pPr>
      <w:r>
        <w:rPr>
          <w:lang w:eastAsia="ko-KR"/>
        </w:rPr>
        <w:t>Th</w:t>
      </w:r>
      <w:r w:rsidR="00CC4C56">
        <w:rPr>
          <w:lang w:eastAsia="ko-KR"/>
        </w:rPr>
        <w:t>ere are</w:t>
      </w:r>
      <w:r w:rsidR="00F7172F">
        <w:rPr>
          <w:lang w:eastAsia="ko-KR"/>
        </w:rPr>
        <w:t xml:space="preserve"> </w:t>
      </w:r>
      <w:r w:rsidR="00CC4C56">
        <w:rPr>
          <w:lang w:eastAsia="ko-KR"/>
        </w:rPr>
        <w:t xml:space="preserve">two </w:t>
      </w:r>
      <w:proofErr w:type="gramStart"/>
      <w:r w:rsidR="00CC4C56">
        <w:rPr>
          <w:lang w:eastAsia="ko-KR"/>
        </w:rPr>
        <w:t>types</w:t>
      </w:r>
      <w:r w:rsidR="00FD2AA9">
        <w:rPr>
          <w:lang w:eastAsia="ko-KR"/>
        </w:rPr>
        <w:t>(</w:t>
      </w:r>
      <w:proofErr w:type="gramEnd"/>
      <w:r w:rsidR="00FD2AA9">
        <w:rPr>
          <w:lang w:eastAsia="ko-KR"/>
        </w:rPr>
        <w:t xml:space="preserve">configuration type 1 and 2) </w:t>
      </w:r>
      <w:r w:rsidR="00CC4C56">
        <w:rPr>
          <w:lang w:eastAsia="ko-KR"/>
        </w:rPr>
        <w:t xml:space="preserve">of DMRS for data demodulation. </w:t>
      </w:r>
      <w:r>
        <w:rPr>
          <w:lang w:eastAsia="ko-KR"/>
        </w:rPr>
        <w:t>In addition,</w:t>
      </w:r>
      <w:r w:rsidR="00FD2AA9">
        <w:rPr>
          <w:lang w:eastAsia="ko-KR"/>
        </w:rPr>
        <w:t xml:space="preserve"> additional DM-RS symbols for PDSCH mapping type A and B are designed for high speed</w:t>
      </w:r>
      <w:r w:rsidR="00AC174F">
        <w:rPr>
          <w:lang w:eastAsia="ko-KR"/>
        </w:rPr>
        <w:t>, etc.</w:t>
      </w:r>
      <w:r w:rsidR="00FD2AA9">
        <w:rPr>
          <w:lang w:eastAsia="ko-KR"/>
        </w:rPr>
        <w:t xml:space="preserve"> The location</w:t>
      </w:r>
      <w:r w:rsidR="00AC174F">
        <w:rPr>
          <w:lang w:eastAsia="ko-KR"/>
        </w:rPr>
        <w:t>(</w:t>
      </w:r>
      <w:r w:rsidR="00AC174F" w:rsidRPr="00E616C7">
        <w:rPr>
          <w:position w:val="-10"/>
        </w:rPr>
        <w:object w:dxaOrig="200" w:dyaOrig="300" w14:anchorId="711F17BE">
          <v:shape id="_x0000_i1042" type="#_x0000_t75" style="width:10.2pt;height:15.6pt" o:ole="">
            <v:imagedata r:id="rId28" o:title=""/>
          </v:shape>
          <o:OLEObject Type="Embed" ProgID="Equation.3" ShapeID="_x0000_i1042" DrawAspect="Content" ObjectID="_1580373507" r:id="rId40"/>
        </w:object>
      </w:r>
      <w:r w:rsidR="00AC174F">
        <w:rPr>
          <w:lang w:eastAsia="ko-KR"/>
        </w:rPr>
        <w:t>)</w:t>
      </w:r>
      <w:r w:rsidR="00FD2AA9">
        <w:rPr>
          <w:lang w:eastAsia="ko-KR"/>
        </w:rPr>
        <w:t xml:space="preserve"> of the first DM-RS symbol depends on </w:t>
      </w:r>
      <w:r w:rsidR="00AC174F">
        <w:rPr>
          <w:lang w:eastAsia="ko-KR"/>
        </w:rPr>
        <w:t>the high</w:t>
      </w:r>
      <w:r w:rsidR="00AC174F">
        <w:t xml:space="preserve">-layer parameter </w:t>
      </w:r>
      <w:r w:rsidR="00AC174F" w:rsidRPr="001747FF">
        <w:rPr>
          <w:i/>
        </w:rPr>
        <w:t>DL</w:t>
      </w:r>
      <w:r w:rsidR="00AC174F">
        <w:rPr>
          <w:i/>
        </w:rPr>
        <w:t>-</w:t>
      </w:r>
      <w:r w:rsidR="00AC174F" w:rsidRPr="00F064D4">
        <w:rPr>
          <w:i/>
        </w:rPr>
        <w:t>DMRS</w:t>
      </w:r>
      <w:r w:rsidR="00AC174F">
        <w:rPr>
          <w:i/>
        </w:rPr>
        <w:t>-</w:t>
      </w:r>
      <w:proofErr w:type="spellStart"/>
      <w:r w:rsidR="00AC174F" w:rsidRPr="00F064D4">
        <w:rPr>
          <w:i/>
        </w:rPr>
        <w:t>typeA</w:t>
      </w:r>
      <w:proofErr w:type="spellEnd"/>
      <w:r w:rsidR="00AC174F">
        <w:rPr>
          <w:i/>
        </w:rPr>
        <w:t>-</w:t>
      </w:r>
      <w:proofErr w:type="spellStart"/>
      <w:r w:rsidR="00AC174F" w:rsidRPr="00F064D4">
        <w:rPr>
          <w:i/>
        </w:rPr>
        <w:t>pos</w:t>
      </w:r>
      <w:proofErr w:type="spellEnd"/>
      <w:r w:rsidR="00AC174F">
        <w:rPr>
          <w:lang w:eastAsia="ko-KR"/>
        </w:rPr>
        <w:t xml:space="preserve"> in PDSCH mapping type A. Figure 1 shows an example of DM-RS design for configuration type 1 and </w:t>
      </w:r>
      <w:r w:rsidR="00AC174F" w:rsidRPr="009A1E80">
        <w:rPr>
          <w:position w:val="-10"/>
        </w:rPr>
        <w:object w:dxaOrig="540" w:dyaOrig="300" w14:anchorId="56185815">
          <v:shape id="_x0000_i1043" type="#_x0000_t75" style="width:27.6pt;height:15.6pt" o:ole="">
            <v:imagedata r:id="rId33" o:title=""/>
          </v:shape>
          <o:OLEObject Type="Embed" ProgID="Equation.3" ShapeID="_x0000_i1043" DrawAspect="Content" ObjectID="_1580373508" r:id="rId41"/>
        </w:object>
      </w:r>
      <w:r w:rsidR="00AC174F">
        <w:rPr>
          <w:lang w:eastAsia="ko-KR"/>
        </w:rPr>
        <w:t xml:space="preserve"> with </w:t>
      </w:r>
      <w:r w:rsidR="007E104A">
        <w:rPr>
          <w:lang w:eastAsia="ko-KR"/>
        </w:rPr>
        <w:t>one</w:t>
      </w:r>
      <w:r w:rsidR="00AC174F">
        <w:rPr>
          <w:lang w:eastAsia="ko-KR"/>
        </w:rPr>
        <w:t xml:space="preserve"> additional DM-RS symbol. </w:t>
      </w:r>
    </w:p>
    <w:p w14:paraId="45FDCA54" w14:textId="77777777" w:rsidR="00790722" w:rsidRPr="007E104A" w:rsidRDefault="00790722" w:rsidP="00E2030E">
      <w:pPr>
        <w:spacing w:after="120"/>
        <w:rPr>
          <w:lang w:eastAsia="ko-KR"/>
        </w:rPr>
      </w:pPr>
    </w:p>
    <w:p w14:paraId="31442244" w14:textId="77777777" w:rsidR="007E104A" w:rsidRDefault="007E104A" w:rsidP="007E104A">
      <w:pPr>
        <w:keepNext/>
        <w:spacing w:after="120"/>
        <w:jc w:val="center"/>
      </w:pPr>
      <w:r>
        <w:rPr>
          <w:noProof/>
          <w:lang w:eastAsia="ko-KR"/>
        </w:rPr>
        <w:drawing>
          <wp:inline distT="0" distB="0" distL="0" distR="0" wp14:anchorId="12E75F76" wp14:editId="526D1D45">
            <wp:extent cx="2166782" cy="1508760"/>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178348" cy="1516813"/>
                    </a:xfrm>
                    <a:prstGeom prst="rect">
                      <a:avLst/>
                    </a:prstGeom>
                    <a:noFill/>
                  </pic:spPr>
                </pic:pic>
              </a:graphicData>
            </a:graphic>
          </wp:inline>
        </w:drawing>
      </w:r>
    </w:p>
    <w:p w14:paraId="1CABF006" w14:textId="54AD6304" w:rsidR="00790722" w:rsidRDefault="007E104A" w:rsidP="007E104A">
      <w:pPr>
        <w:pStyle w:val="ad"/>
        <w:jc w:val="center"/>
        <w:rPr>
          <w:lang w:eastAsia="ko-KR"/>
        </w:rPr>
      </w:pPr>
      <w:r>
        <w:t xml:space="preserve">Figure </w:t>
      </w:r>
      <w:fldSimple w:instr=" SEQ Figure \* ARABIC ">
        <w:r>
          <w:rPr>
            <w:noProof/>
          </w:rPr>
          <w:t>1</w:t>
        </w:r>
      </w:fldSimple>
      <w:r>
        <w:t xml:space="preserve"> DM-RS example</w:t>
      </w:r>
    </w:p>
    <w:p w14:paraId="7995C6D7" w14:textId="45BB83BB" w:rsidR="007E104A" w:rsidRDefault="007E104A" w:rsidP="00E2030E">
      <w:pPr>
        <w:spacing w:after="120"/>
        <w:rPr>
          <w:lang w:eastAsia="ko-KR"/>
        </w:rPr>
      </w:pPr>
    </w:p>
    <w:p w14:paraId="4D9F976F" w14:textId="765D2818" w:rsidR="00F679C9" w:rsidRDefault="00F679C9" w:rsidP="00F679C9">
      <w:pPr>
        <w:spacing w:after="120"/>
        <w:rPr>
          <w:lang w:eastAsia="ko-KR"/>
        </w:rPr>
      </w:pPr>
      <w:r>
        <w:rPr>
          <w:lang w:eastAsia="ko-KR"/>
        </w:rPr>
        <w:t xml:space="preserve">On the other hands there are two scenarios for HST [4][5]. One is that TRP is directly linked with UE in below 6GHz and the other is that TRP is linked with UE by the relay node in above 6GHz. In the HST scenarios the LOS channel can be dominated. Especially, CDL/TDL-D and CDL/TDL-E for LOS channel models are taken into account for simulation evaluation parameters in above 6GHz environment.  </w:t>
      </w:r>
    </w:p>
    <w:p w14:paraId="5F33F21D" w14:textId="0562451E" w:rsidR="00F679C9" w:rsidRDefault="006B2430" w:rsidP="00F679C9">
      <w:pPr>
        <w:spacing w:after="120"/>
        <w:rPr>
          <w:lang w:eastAsia="ko-KR"/>
        </w:rPr>
      </w:pPr>
      <w:r>
        <w:rPr>
          <w:lang w:eastAsia="ko-KR"/>
        </w:rPr>
        <w:t xml:space="preserve">When </w:t>
      </w:r>
      <w:r>
        <w:rPr>
          <w:rFonts w:hint="eastAsia"/>
          <w:lang w:eastAsia="ko-KR"/>
        </w:rPr>
        <w:t xml:space="preserve">DM-RS mapping </w:t>
      </w:r>
      <w:r>
        <w:rPr>
          <w:lang w:eastAsia="ko-KR"/>
        </w:rPr>
        <w:t>is applied for HST scenarios, the Doppler effect for high speed may be ignored by using addition DM-RS symbols. In the case of LOS channel</w:t>
      </w:r>
      <w:r w:rsidR="00D97D24">
        <w:rPr>
          <w:lang w:eastAsia="ko-KR"/>
        </w:rPr>
        <w:t>s</w:t>
      </w:r>
      <w:r>
        <w:rPr>
          <w:lang w:eastAsia="ko-KR"/>
        </w:rPr>
        <w:t xml:space="preserve">, however, </w:t>
      </w:r>
      <w:r w:rsidR="0023047A">
        <w:rPr>
          <w:lang w:eastAsia="ko-KR"/>
        </w:rPr>
        <w:t xml:space="preserve">there may be unnecessary </w:t>
      </w:r>
      <w:r>
        <w:rPr>
          <w:lang w:eastAsia="ko-KR"/>
        </w:rPr>
        <w:t xml:space="preserve">DM-RS </w:t>
      </w:r>
      <w:r w:rsidR="00BB4B38">
        <w:rPr>
          <w:lang w:eastAsia="ko-KR"/>
        </w:rPr>
        <w:t>for spectral efficiency.</w:t>
      </w:r>
      <w:r>
        <w:rPr>
          <w:lang w:eastAsia="ko-KR"/>
        </w:rPr>
        <w:t xml:space="preserve"> </w:t>
      </w:r>
      <w:r w:rsidR="00316835">
        <w:rPr>
          <w:lang w:eastAsia="ko-KR"/>
        </w:rPr>
        <w:t>In other words</w:t>
      </w:r>
      <w:r w:rsidR="00D97D24">
        <w:rPr>
          <w:lang w:eastAsia="ko-KR"/>
        </w:rPr>
        <w:t>,</w:t>
      </w:r>
      <w:r w:rsidR="00316835">
        <w:rPr>
          <w:lang w:eastAsia="ko-KR"/>
        </w:rPr>
        <w:t xml:space="preserve"> </w:t>
      </w:r>
      <w:r w:rsidR="00D97D24">
        <w:rPr>
          <w:lang w:eastAsia="ko-KR"/>
        </w:rPr>
        <w:t>the low</w:t>
      </w:r>
      <w:r w:rsidR="00316835">
        <w:rPr>
          <w:lang w:eastAsia="ko-KR"/>
        </w:rPr>
        <w:t xml:space="preserve"> </w:t>
      </w:r>
      <w:r w:rsidR="00D97D24">
        <w:rPr>
          <w:lang w:eastAsia="ko-KR"/>
        </w:rPr>
        <w:t xml:space="preserve">DM-RS density in the frequency domain can be considered. </w:t>
      </w:r>
    </w:p>
    <w:p w14:paraId="600E563E" w14:textId="77777777" w:rsidR="00D10836" w:rsidRDefault="00D10836" w:rsidP="00F679C9">
      <w:pPr>
        <w:spacing w:after="120"/>
        <w:rPr>
          <w:lang w:eastAsia="ko-KR"/>
        </w:rPr>
      </w:pPr>
    </w:p>
    <w:p w14:paraId="2218F4A3" w14:textId="7E654B4C" w:rsidR="00D10836" w:rsidRPr="002715DC" w:rsidRDefault="00D10836" w:rsidP="00D10836">
      <w:pPr>
        <w:rPr>
          <w:lang w:eastAsia="ko-KR"/>
        </w:rPr>
      </w:pPr>
      <w:r w:rsidRPr="00862051">
        <w:rPr>
          <w:b/>
          <w:lang w:eastAsia="ko-KR"/>
        </w:rPr>
        <w:lastRenderedPageBreak/>
        <w:t>Proposal</w:t>
      </w:r>
      <w:r>
        <w:rPr>
          <w:b/>
          <w:lang w:eastAsia="ko-KR"/>
        </w:rPr>
        <w:t xml:space="preserve"> 1</w:t>
      </w:r>
      <w:r w:rsidRPr="00862051">
        <w:rPr>
          <w:b/>
          <w:lang w:eastAsia="ko-KR"/>
        </w:rPr>
        <w:t>:</w:t>
      </w:r>
      <w:r>
        <w:rPr>
          <w:b/>
          <w:lang w:eastAsia="ko-KR"/>
        </w:rPr>
        <w:t xml:space="preserve"> </w:t>
      </w:r>
      <w:r>
        <w:rPr>
          <w:lang w:eastAsia="ko-KR"/>
        </w:rPr>
        <w:t>DM-RS mapping with low density in the frequency domain should be considered in HST scenario.</w:t>
      </w:r>
    </w:p>
    <w:p w14:paraId="4701C1D1" w14:textId="77777777" w:rsidR="00D10836" w:rsidRPr="00D10836" w:rsidRDefault="00D10836" w:rsidP="00F679C9">
      <w:pPr>
        <w:spacing w:after="120"/>
        <w:rPr>
          <w:lang w:eastAsia="ko-KR"/>
        </w:rPr>
      </w:pPr>
    </w:p>
    <w:p w14:paraId="19E44EFA" w14:textId="1E785DB3" w:rsidR="007E104A" w:rsidRPr="00F679C9" w:rsidRDefault="00D97D24" w:rsidP="00E2030E">
      <w:pPr>
        <w:spacing w:after="120"/>
        <w:rPr>
          <w:lang w:eastAsia="ko-KR"/>
        </w:rPr>
      </w:pPr>
      <w:r>
        <w:rPr>
          <w:rFonts w:hint="eastAsia"/>
          <w:lang w:eastAsia="ko-KR"/>
        </w:rPr>
        <w:t xml:space="preserve">For this </w:t>
      </w:r>
      <w:r>
        <w:rPr>
          <w:lang w:eastAsia="ko-KR"/>
        </w:rPr>
        <w:t>following items may be discussed.</w:t>
      </w:r>
    </w:p>
    <w:p w14:paraId="26A6BD5B" w14:textId="645E7913" w:rsidR="00E2030E" w:rsidRDefault="00D97D24" w:rsidP="00E2030E">
      <w:pPr>
        <w:numPr>
          <w:ilvl w:val="0"/>
          <w:numId w:val="45"/>
        </w:numPr>
        <w:tabs>
          <w:tab w:val="left" w:pos="1440"/>
        </w:tabs>
        <w:ind w:left="714" w:hanging="357"/>
        <w:jc w:val="left"/>
        <w:rPr>
          <w:color w:val="000000"/>
        </w:rPr>
      </w:pPr>
      <w:r>
        <w:rPr>
          <w:color w:val="000000"/>
        </w:rPr>
        <w:t>Configuration type</w:t>
      </w:r>
    </w:p>
    <w:p w14:paraId="65BB2572" w14:textId="4D374BCD" w:rsidR="00E2030E" w:rsidRDefault="00D97D24" w:rsidP="00E2030E">
      <w:pPr>
        <w:numPr>
          <w:ilvl w:val="0"/>
          <w:numId w:val="46"/>
        </w:numPr>
        <w:tabs>
          <w:tab w:val="left" w:pos="1440"/>
        </w:tabs>
        <w:spacing w:after="120"/>
        <w:jc w:val="left"/>
        <w:rPr>
          <w:color w:val="000000"/>
        </w:rPr>
      </w:pPr>
      <w:r>
        <w:rPr>
          <w:color w:val="000000"/>
          <w:lang w:eastAsia="ko-KR"/>
        </w:rPr>
        <w:t>Various methods can be designed for low DM-RS density in the frequency domain. I</w:t>
      </w:r>
      <w:r w:rsidR="00B45188">
        <w:rPr>
          <w:color w:val="000000"/>
          <w:lang w:eastAsia="ko-KR"/>
        </w:rPr>
        <w:t>f new</w:t>
      </w:r>
      <w:r>
        <w:rPr>
          <w:color w:val="000000"/>
          <w:lang w:eastAsia="ko-KR"/>
        </w:rPr>
        <w:t xml:space="preserve"> DM-RS design is generated, </w:t>
      </w:r>
      <w:r w:rsidR="00B45188">
        <w:rPr>
          <w:color w:val="000000"/>
          <w:lang w:eastAsia="ko-KR"/>
        </w:rPr>
        <w:t xml:space="preserve">the additional configuration type may be required. </w:t>
      </w:r>
    </w:p>
    <w:p w14:paraId="57987B00" w14:textId="55A41E4D" w:rsidR="00E2030E" w:rsidRDefault="00B45188" w:rsidP="00E2030E">
      <w:pPr>
        <w:numPr>
          <w:ilvl w:val="0"/>
          <w:numId w:val="45"/>
        </w:numPr>
        <w:tabs>
          <w:tab w:val="left" w:pos="1440"/>
        </w:tabs>
        <w:ind w:left="714" w:hanging="357"/>
        <w:jc w:val="left"/>
        <w:rPr>
          <w:color w:val="000000"/>
        </w:rPr>
      </w:pPr>
      <w:r>
        <w:rPr>
          <w:color w:val="000000"/>
        </w:rPr>
        <w:t>RRC parameter</w:t>
      </w:r>
    </w:p>
    <w:p w14:paraId="0FB3A11E" w14:textId="73B9DA89" w:rsidR="00E2030E" w:rsidRPr="00AC2F66" w:rsidRDefault="004C079A" w:rsidP="00E2030E">
      <w:pPr>
        <w:numPr>
          <w:ilvl w:val="0"/>
          <w:numId w:val="46"/>
        </w:numPr>
        <w:tabs>
          <w:tab w:val="left" w:pos="1440"/>
        </w:tabs>
        <w:spacing w:after="120" w:line="240" w:lineRule="auto"/>
        <w:jc w:val="left"/>
        <w:rPr>
          <w:color w:val="000000"/>
        </w:rPr>
      </w:pPr>
      <w:r>
        <w:rPr>
          <w:color w:val="000000"/>
          <w:lang w:eastAsia="ko-KR"/>
        </w:rPr>
        <w:t xml:space="preserve">DM-RS mapping in configuration type 1 and 2 can be extended to multiple RBs. In this case the high-layer parameter for subcarrier interval between DM-RS elements may be considered. </w:t>
      </w:r>
    </w:p>
    <w:p w14:paraId="7938C7DF" w14:textId="282ACB4F" w:rsidR="00E2030E" w:rsidRDefault="00B45188" w:rsidP="00E2030E">
      <w:pPr>
        <w:numPr>
          <w:ilvl w:val="0"/>
          <w:numId w:val="45"/>
        </w:numPr>
        <w:tabs>
          <w:tab w:val="left" w:pos="1440"/>
        </w:tabs>
        <w:ind w:left="714" w:hanging="357"/>
        <w:jc w:val="left"/>
        <w:rPr>
          <w:color w:val="000000"/>
        </w:rPr>
      </w:pPr>
      <w:r>
        <w:rPr>
          <w:color w:val="000000"/>
        </w:rPr>
        <w:t>PRB bundling</w:t>
      </w:r>
    </w:p>
    <w:p w14:paraId="1258BD43" w14:textId="2DBD98DF" w:rsidR="00E2030E" w:rsidRPr="00B42942" w:rsidRDefault="004C079A" w:rsidP="00E2030E">
      <w:pPr>
        <w:numPr>
          <w:ilvl w:val="0"/>
          <w:numId w:val="46"/>
        </w:numPr>
        <w:tabs>
          <w:tab w:val="left" w:pos="1440"/>
        </w:tabs>
        <w:spacing w:after="120" w:line="240" w:lineRule="auto"/>
        <w:jc w:val="left"/>
        <w:rPr>
          <w:color w:val="000000"/>
        </w:rPr>
      </w:pPr>
      <w:r>
        <w:rPr>
          <w:color w:val="000000"/>
          <w:lang w:eastAsia="ko-KR"/>
        </w:rPr>
        <w:t xml:space="preserve">When </w:t>
      </w:r>
      <w:r w:rsidR="00912B24">
        <w:rPr>
          <w:color w:val="000000"/>
          <w:lang w:eastAsia="ko-KR"/>
        </w:rPr>
        <w:t xml:space="preserve">same precoding is applied to </w:t>
      </w:r>
      <w:r>
        <w:rPr>
          <w:color w:val="000000"/>
          <w:lang w:eastAsia="ko-KR"/>
        </w:rPr>
        <w:t xml:space="preserve">DM-RS and data, </w:t>
      </w:r>
      <w:r w:rsidR="00D10836">
        <w:rPr>
          <w:color w:val="000000"/>
          <w:lang w:eastAsia="ko-KR"/>
        </w:rPr>
        <w:t>the mapping of multiple RBs for low density DM-RS should take into account PRB bundling size</w:t>
      </w:r>
      <w:r w:rsidR="00564F61">
        <w:rPr>
          <w:color w:val="000000"/>
          <w:lang w:eastAsia="ko-KR"/>
        </w:rPr>
        <w:t xml:space="preserve"> </w:t>
      </w:r>
      <w:bookmarkStart w:id="2" w:name="_GoBack"/>
      <w:bookmarkEnd w:id="2"/>
      <w:r w:rsidR="00D10836">
        <w:rPr>
          <w:color w:val="000000"/>
          <w:lang w:eastAsia="ko-KR"/>
        </w:rPr>
        <w:t xml:space="preserve">[2][3]. </w:t>
      </w:r>
    </w:p>
    <w:p w14:paraId="67E49F9F" w14:textId="77777777" w:rsidR="00E2030E" w:rsidRPr="00B42942" w:rsidRDefault="00E2030E" w:rsidP="00E2030E">
      <w:pPr>
        <w:tabs>
          <w:tab w:val="left" w:pos="1440"/>
        </w:tabs>
        <w:spacing w:line="240" w:lineRule="auto"/>
        <w:jc w:val="left"/>
        <w:rPr>
          <w:rFonts w:eastAsia="MS Mincho"/>
          <w:color w:val="000000"/>
        </w:rPr>
      </w:pPr>
    </w:p>
    <w:p w14:paraId="6BDC727F" w14:textId="0640AF99" w:rsidR="00E2030E" w:rsidRPr="00AA30A7" w:rsidRDefault="005A3ED9" w:rsidP="00E2030E">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50F74255" w14:textId="62CF13B3" w:rsidR="005A3ED9" w:rsidRPr="00891071" w:rsidRDefault="005A3ED9" w:rsidP="005A3ED9">
      <w:pPr>
        <w:spacing w:after="120"/>
        <w:rPr>
          <w:lang w:eastAsia="ko-KR"/>
        </w:rPr>
      </w:pPr>
      <w:r w:rsidRPr="00891071">
        <w:rPr>
          <w:lang w:eastAsia="ko-KR"/>
        </w:rPr>
        <w:t xml:space="preserve">In this contribution, we present our considerations on </w:t>
      </w:r>
      <w:r w:rsidR="00B70E2D">
        <w:rPr>
          <w:lang w:eastAsia="ko-KR"/>
        </w:rPr>
        <w:t xml:space="preserve">DM-RS mapping </w:t>
      </w:r>
      <w:r w:rsidRPr="00891071">
        <w:rPr>
          <w:lang w:eastAsia="ko-KR"/>
        </w:rPr>
        <w:t>in high speed train scenario.  Based on the discussion, we make the following proposal.</w:t>
      </w:r>
    </w:p>
    <w:p w14:paraId="38B892BE" w14:textId="1D6463F3" w:rsidR="005A3ED9" w:rsidRPr="00D10836" w:rsidRDefault="00D10836" w:rsidP="005A3ED9">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DM-RS mapping with low density in the frequency domain should be considered in HST scenario.</w:t>
      </w:r>
    </w:p>
    <w:p w14:paraId="10DED2F0" w14:textId="77777777" w:rsidR="00E2030E" w:rsidRPr="00AA30A7" w:rsidRDefault="00E2030E" w:rsidP="00E2030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72C2D17" w14:textId="7B27D90D" w:rsidR="003731EE" w:rsidRDefault="003731EE" w:rsidP="003731EE">
      <w:pPr>
        <w:pStyle w:val="afb"/>
        <w:numPr>
          <w:ilvl w:val="0"/>
          <w:numId w:val="7"/>
        </w:numPr>
        <w:ind w:leftChars="0"/>
        <w:rPr>
          <w:lang w:eastAsia="zh-CN"/>
        </w:rPr>
      </w:pPr>
      <w:r w:rsidRPr="003C5636">
        <w:rPr>
          <w:lang w:eastAsia="ko-KR"/>
        </w:rPr>
        <w:t>R1-180129</w:t>
      </w:r>
      <w:r>
        <w:rPr>
          <w:lang w:eastAsia="ko-KR"/>
        </w:rPr>
        <w:t>1</w:t>
      </w:r>
      <w:r w:rsidRPr="003C5636">
        <w:rPr>
          <w:lang w:eastAsia="ko-KR"/>
        </w:rPr>
        <w:t>, “</w:t>
      </w:r>
      <w:proofErr w:type="spellStart"/>
      <w:r w:rsidRPr="003731EE">
        <w:rPr>
          <w:lang w:eastAsia="ko-KR"/>
        </w:rPr>
        <w:t>draftCR</w:t>
      </w:r>
      <w:proofErr w:type="spellEnd"/>
      <w:r w:rsidRPr="003731EE">
        <w:rPr>
          <w:lang w:eastAsia="ko-KR"/>
        </w:rPr>
        <w:t xml:space="preserve"> to 38.211 capturing the Jan18 ad-hoc meeting agreements</w:t>
      </w:r>
      <w:r>
        <w:rPr>
          <w:lang w:eastAsia="ko-KR"/>
        </w:rPr>
        <w:t>”.</w:t>
      </w:r>
    </w:p>
    <w:p w14:paraId="25CD2FBF" w14:textId="77777777" w:rsidR="00E2030E" w:rsidRDefault="00E2030E" w:rsidP="00E2030E">
      <w:pPr>
        <w:numPr>
          <w:ilvl w:val="0"/>
          <w:numId w:val="7"/>
        </w:numPr>
        <w:tabs>
          <w:tab w:val="left" w:pos="810"/>
        </w:tabs>
        <w:spacing w:after="180"/>
        <w:contextualSpacing/>
        <w:rPr>
          <w:lang w:eastAsia="zh-CN"/>
        </w:rPr>
      </w:pPr>
      <w:r w:rsidRPr="0019579F">
        <w:rPr>
          <w:lang w:eastAsia="ko-KR"/>
        </w:rPr>
        <w:t>R1-1801294, “3GPP TS 38.214 V15.0.0 (2018-02)”.</w:t>
      </w:r>
    </w:p>
    <w:p w14:paraId="4BAD7F90" w14:textId="77777777" w:rsidR="00E2030E" w:rsidRDefault="00E2030E" w:rsidP="00E2030E">
      <w:pPr>
        <w:numPr>
          <w:ilvl w:val="0"/>
          <w:numId w:val="7"/>
        </w:numPr>
        <w:tabs>
          <w:tab w:val="left" w:pos="810"/>
        </w:tabs>
        <w:spacing w:after="180"/>
        <w:contextualSpacing/>
        <w:rPr>
          <w:lang w:eastAsia="zh-CN"/>
        </w:rPr>
      </w:pPr>
      <w:r w:rsidRPr="0019579F">
        <w:rPr>
          <w:lang w:eastAsia="ko-KR"/>
        </w:rPr>
        <w:t>R1-1801292, “3GPP TS 38.212 V15.0.1 (2018-02)”.</w:t>
      </w:r>
    </w:p>
    <w:p w14:paraId="5A039499" w14:textId="3FAF548E" w:rsidR="00E2030E" w:rsidRDefault="00E2030E" w:rsidP="00E2030E">
      <w:pPr>
        <w:numPr>
          <w:ilvl w:val="0"/>
          <w:numId w:val="7"/>
        </w:numPr>
        <w:tabs>
          <w:tab w:val="left" w:pos="810"/>
        </w:tabs>
        <w:spacing w:after="180"/>
        <w:contextualSpacing/>
        <w:rPr>
          <w:lang w:eastAsia="zh-CN"/>
        </w:rPr>
      </w:pPr>
      <w:r w:rsidRPr="001E33E5">
        <w:rPr>
          <w:lang w:eastAsia="zh-CN"/>
        </w:rPr>
        <w:t>3GPP TR 38.802 V14.2.0 (2017-09)</w:t>
      </w:r>
      <w:r>
        <w:rPr>
          <w:lang w:eastAsia="zh-CN"/>
        </w:rPr>
        <w:t>.</w:t>
      </w:r>
    </w:p>
    <w:p w14:paraId="444BB430" w14:textId="373A24AC" w:rsidR="001226A9" w:rsidRDefault="001226A9" w:rsidP="001226A9">
      <w:pPr>
        <w:numPr>
          <w:ilvl w:val="0"/>
          <w:numId w:val="7"/>
        </w:numPr>
        <w:tabs>
          <w:tab w:val="left" w:pos="810"/>
        </w:tabs>
        <w:spacing w:after="180"/>
        <w:contextualSpacing/>
        <w:rPr>
          <w:lang w:eastAsia="zh-CN"/>
        </w:rPr>
      </w:pPr>
      <w:r w:rsidRPr="001226A9">
        <w:rPr>
          <w:lang w:eastAsia="zh-CN"/>
        </w:rPr>
        <w:t>ITU-R M.[IMT-2020.EVAL]</w:t>
      </w:r>
      <w:r>
        <w:rPr>
          <w:lang w:eastAsia="zh-CN"/>
        </w:rPr>
        <w:t>, “</w:t>
      </w:r>
      <w:r w:rsidRPr="001226A9">
        <w:rPr>
          <w:lang w:eastAsia="zh-CN"/>
        </w:rPr>
        <w:t>Guidelines for evaluation of radio interface technologies for IMT-2020</w:t>
      </w:r>
      <w:r>
        <w:rPr>
          <w:lang w:eastAsia="zh-CN"/>
        </w:rPr>
        <w:t>”.</w:t>
      </w:r>
    </w:p>
    <w:sectPr w:rsidR="001226A9" w:rsidSect="00345456">
      <w:footerReference w:type="default" r:id="rId4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7ECFC" w14:textId="77777777" w:rsidR="00571006" w:rsidRDefault="00571006">
      <w:r>
        <w:separator/>
      </w:r>
    </w:p>
  </w:endnote>
  <w:endnote w:type="continuationSeparator" w:id="0">
    <w:p w14:paraId="0B62EF5A" w14:textId="77777777" w:rsidR="00571006" w:rsidRDefault="0057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2BF0EF70"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564F61">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564F61">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1D11AE" w14:textId="77777777" w:rsidR="00571006" w:rsidRDefault="00571006">
      <w:r>
        <w:separator/>
      </w:r>
    </w:p>
  </w:footnote>
  <w:footnote w:type="continuationSeparator" w:id="0">
    <w:p w14:paraId="00244F6B" w14:textId="77777777" w:rsidR="00571006" w:rsidRDefault="005710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D27FC"/>
    <w:multiLevelType w:val="hybridMultilevel"/>
    <w:tmpl w:val="6AF6FE76"/>
    <w:lvl w:ilvl="0" w:tplc="E6643AB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6630FC"/>
    <w:multiLevelType w:val="hybridMultilevel"/>
    <w:tmpl w:val="67C67DEE"/>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97CCEDDE">
      <w:start w:val="2"/>
      <w:numFmt w:val="bullet"/>
      <w:lvlText w:val="-"/>
      <w:lvlJc w:val="left"/>
      <w:pPr>
        <w:ind w:left="643" w:hanging="360"/>
      </w:pPr>
      <w:rPr>
        <w:rFonts w:ascii="Times New Roman" w:eastAsiaTheme="minorEastAsia" w:hAnsi="Times New Roman" w:cs="Times New Roman"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6"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2" w15:restartNumberingAfterBreak="0">
    <w:nsid w:val="6E4D3C39"/>
    <w:multiLevelType w:val="hybridMultilevel"/>
    <w:tmpl w:val="F3C8F058"/>
    <w:lvl w:ilvl="0" w:tplc="C020478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8"/>
  </w:num>
  <w:num w:numId="3">
    <w:abstractNumId w:val="11"/>
  </w:num>
  <w:num w:numId="4">
    <w:abstractNumId w:val="36"/>
  </w:num>
  <w:num w:numId="5">
    <w:abstractNumId w:val="2"/>
  </w:num>
  <w:num w:numId="6">
    <w:abstractNumId w:val="10"/>
  </w:num>
  <w:num w:numId="7">
    <w:abstractNumId w:val="23"/>
  </w:num>
  <w:num w:numId="8">
    <w:abstractNumId w:val="12"/>
  </w:num>
  <w:num w:numId="9">
    <w:abstractNumId w:val="16"/>
  </w:num>
  <w:num w:numId="10">
    <w:abstractNumId w:val="0"/>
  </w:num>
  <w:num w:numId="11">
    <w:abstractNumId w:val="2"/>
  </w:num>
  <w:num w:numId="12">
    <w:abstractNumId w:val="2"/>
  </w:num>
  <w:num w:numId="13">
    <w:abstractNumId w:val="8"/>
  </w:num>
  <w:num w:numId="14">
    <w:abstractNumId w:val="14"/>
  </w:num>
  <w:num w:numId="15">
    <w:abstractNumId w:val="9"/>
  </w:num>
  <w:num w:numId="16">
    <w:abstractNumId w:val="6"/>
  </w:num>
  <w:num w:numId="17">
    <w:abstractNumId w:val="3"/>
  </w:num>
  <w:num w:numId="18">
    <w:abstractNumId w:val="38"/>
  </w:num>
  <w:num w:numId="19">
    <w:abstractNumId w:val="33"/>
  </w:num>
  <w:num w:numId="20">
    <w:abstractNumId w:val="25"/>
  </w:num>
  <w:num w:numId="21">
    <w:abstractNumId w:val="15"/>
  </w:num>
  <w:num w:numId="22">
    <w:abstractNumId w:val="27"/>
  </w:num>
  <w:num w:numId="23">
    <w:abstractNumId w:val="7"/>
  </w:num>
  <w:num w:numId="24">
    <w:abstractNumId w:val="34"/>
  </w:num>
  <w:num w:numId="25">
    <w:abstractNumId w:val="24"/>
  </w:num>
  <w:num w:numId="26">
    <w:abstractNumId w:val="35"/>
  </w:num>
  <w:num w:numId="27">
    <w:abstractNumId w:val="2"/>
  </w:num>
  <w:num w:numId="28">
    <w:abstractNumId w:val="2"/>
  </w:num>
  <w:num w:numId="29">
    <w:abstractNumId w:val="2"/>
  </w:num>
  <w:num w:numId="30">
    <w:abstractNumId w:val="2"/>
  </w:num>
  <w:num w:numId="31">
    <w:abstractNumId w:val="32"/>
  </w:num>
  <w:num w:numId="32">
    <w:abstractNumId w:val="4"/>
  </w:num>
  <w:num w:numId="33">
    <w:abstractNumId w:val="26"/>
  </w:num>
  <w:num w:numId="34">
    <w:abstractNumId w:val="22"/>
  </w:num>
  <w:num w:numId="35">
    <w:abstractNumId w:val="17"/>
  </w:num>
  <w:num w:numId="36">
    <w:abstractNumId w:val="39"/>
  </w:num>
  <w:num w:numId="37">
    <w:abstractNumId w:val="19"/>
  </w:num>
  <w:num w:numId="38">
    <w:abstractNumId w:val="31"/>
  </w:num>
  <w:num w:numId="39">
    <w:abstractNumId w:val="18"/>
  </w:num>
  <w:num w:numId="40">
    <w:abstractNumId w:val="21"/>
  </w:num>
  <w:num w:numId="41">
    <w:abstractNumId w:val="29"/>
  </w:num>
  <w:num w:numId="42">
    <w:abstractNumId w:val="5"/>
  </w:num>
  <w:num w:numId="43">
    <w:abstractNumId w:val="13"/>
  </w:num>
  <w:num w:numId="44">
    <w:abstractNumId w:val="37"/>
  </w:num>
  <w:num w:numId="45">
    <w:abstractNumId w:val="20"/>
  </w:num>
  <w:num w:numId="46">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3C6F"/>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A2A"/>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18E"/>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82"/>
    <w:rsid w:val="00156214"/>
    <w:rsid w:val="0015646B"/>
    <w:rsid w:val="00156BCE"/>
    <w:rsid w:val="0015737C"/>
    <w:rsid w:val="00157421"/>
    <w:rsid w:val="001577F2"/>
    <w:rsid w:val="001606A8"/>
    <w:rsid w:val="00160971"/>
    <w:rsid w:val="00160E06"/>
    <w:rsid w:val="00160E1D"/>
    <w:rsid w:val="00161061"/>
    <w:rsid w:val="001616BE"/>
    <w:rsid w:val="00161B93"/>
    <w:rsid w:val="00161E5B"/>
    <w:rsid w:val="001633F1"/>
    <w:rsid w:val="00163495"/>
    <w:rsid w:val="0016362A"/>
    <w:rsid w:val="0016402D"/>
    <w:rsid w:val="00164234"/>
    <w:rsid w:val="00164266"/>
    <w:rsid w:val="00164694"/>
    <w:rsid w:val="0016589F"/>
    <w:rsid w:val="001659A0"/>
    <w:rsid w:val="00165A01"/>
    <w:rsid w:val="00165CBC"/>
    <w:rsid w:val="00165DE5"/>
    <w:rsid w:val="00165DE9"/>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D4F"/>
    <w:rsid w:val="001C13AD"/>
    <w:rsid w:val="001C14F8"/>
    <w:rsid w:val="001C16FD"/>
    <w:rsid w:val="001C238F"/>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7A"/>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E5"/>
    <w:rsid w:val="003129F1"/>
    <w:rsid w:val="00312AD5"/>
    <w:rsid w:val="00312C11"/>
    <w:rsid w:val="003134F0"/>
    <w:rsid w:val="00313916"/>
    <w:rsid w:val="00313FB3"/>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456"/>
    <w:rsid w:val="003455EE"/>
    <w:rsid w:val="00345FCF"/>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31EE"/>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39EA"/>
    <w:rsid w:val="003F424A"/>
    <w:rsid w:val="003F46D2"/>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BB9"/>
    <w:rsid w:val="00424D9B"/>
    <w:rsid w:val="00425000"/>
    <w:rsid w:val="00425044"/>
    <w:rsid w:val="00425658"/>
    <w:rsid w:val="00425783"/>
    <w:rsid w:val="00425925"/>
    <w:rsid w:val="0042602F"/>
    <w:rsid w:val="00426552"/>
    <w:rsid w:val="004267A7"/>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71AF"/>
    <w:rsid w:val="00467469"/>
    <w:rsid w:val="004677B0"/>
    <w:rsid w:val="00467912"/>
    <w:rsid w:val="00467AB5"/>
    <w:rsid w:val="00470C44"/>
    <w:rsid w:val="00471667"/>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60BF"/>
    <w:rsid w:val="004766AF"/>
    <w:rsid w:val="0047674E"/>
    <w:rsid w:val="0047696C"/>
    <w:rsid w:val="004770BE"/>
    <w:rsid w:val="00477604"/>
    <w:rsid w:val="004776C5"/>
    <w:rsid w:val="00480726"/>
    <w:rsid w:val="00480953"/>
    <w:rsid w:val="00480A00"/>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2DC2"/>
    <w:rsid w:val="004A311F"/>
    <w:rsid w:val="004A3531"/>
    <w:rsid w:val="004A35F1"/>
    <w:rsid w:val="004A396A"/>
    <w:rsid w:val="004A40BF"/>
    <w:rsid w:val="004A41F4"/>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BD8"/>
    <w:rsid w:val="00537C33"/>
    <w:rsid w:val="00537CD2"/>
    <w:rsid w:val="00537E7E"/>
    <w:rsid w:val="00537FC7"/>
    <w:rsid w:val="00540387"/>
    <w:rsid w:val="00540415"/>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4F61"/>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006"/>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57A4"/>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CD9"/>
    <w:rsid w:val="006D461B"/>
    <w:rsid w:val="006D47D5"/>
    <w:rsid w:val="006D49F5"/>
    <w:rsid w:val="006D529F"/>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107B"/>
    <w:rsid w:val="00791555"/>
    <w:rsid w:val="00791D6B"/>
    <w:rsid w:val="00791DEF"/>
    <w:rsid w:val="00792353"/>
    <w:rsid w:val="00792A8D"/>
    <w:rsid w:val="00792C4E"/>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289"/>
    <w:rsid w:val="008C35FE"/>
    <w:rsid w:val="008C3A7D"/>
    <w:rsid w:val="008C3B5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4C0"/>
    <w:rsid w:val="00911A77"/>
    <w:rsid w:val="00911B7A"/>
    <w:rsid w:val="00911DFA"/>
    <w:rsid w:val="0091231D"/>
    <w:rsid w:val="00912498"/>
    <w:rsid w:val="00912821"/>
    <w:rsid w:val="00912B24"/>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372"/>
    <w:rsid w:val="00931669"/>
    <w:rsid w:val="0093191D"/>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0B1E"/>
    <w:rsid w:val="0094169B"/>
    <w:rsid w:val="00941C46"/>
    <w:rsid w:val="00941C8C"/>
    <w:rsid w:val="009422DA"/>
    <w:rsid w:val="00942B8B"/>
    <w:rsid w:val="00943970"/>
    <w:rsid w:val="0094465B"/>
    <w:rsid w:val="0094495A"/>
    <w:rsid w:val="00944D49"/>
    <w:rsid w:val="0094600B"/>
    <w:rsid w:val="00946428"/>
    <w:rsid w:val="009465F2"/>
    <w:rsid w:val="0094693D"/>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E81"/>
    <w:rsid w:val="009A3EF1"/>
    <w:rsid w:val="009A4024"/>
    <w:rsid w:val="009A4270"/>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A0"/>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2D"/>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6AA"/>
    <w:rsid w:val="00B83CAE"/>
    <w:rsid w:val="00B83DCC"/>
    <w:rsid w:val="00B83FD9"/>
    <w:rsid w:val="00B84071"/>
    <w:rsid w:val="00B841BD"/>
    <w:rsid w:val="00B84308"/>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B38"/>
    <w:rsid w:val="00BB4E0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4B80"/>
    <w:rsid w:val="00BD4EBC"/>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78F"/>
    <w:rsid w:val="00BE2BE2"/>
    <w:rsid w:val="00BE2BEC"/>
    <w:rsid w:val="00BE316F"/>
    <w:rsid w:val="00BE3276"/>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1D89"/>
    <w:rsid w:val="00CC2134"/>
    <w:rsid w:val="00CC2913"/>
    <w:rsid w:val="00CC2F42"/>
    <w:rsid w:val="00CC3092"/>
    <w:rsid w:val="00CC3BEF"/>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C15"/>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5A6"/>
    <w:rsid w:val="00DF768E"/>
    <w:rsid w:val="00DF794B"/>
    <w:rsid w:val="00DF796F"/>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E72"/>
    <w:rsid w:val="00E82FE4"/>
    <w:rsid w:val="00E830BD"/>
    <w:rsid w:val="00E8325B"/>
    <w:rsid w:val="00E83545"/>
    <w:rsid w:val="00E8408C"/>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28"/>
    <w:rsid w:val="00F22827"/>
    <w:rsid w:val="00F232E1"/>
    <w:rsid w:val="00F2358D"/>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5E4"/>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link w:val="afb"/>
    <w:uiPriority w:val="34"/>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uiPriority w:val="99"/>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6.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footer" Target="footer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image" Target="media/image15.wmf"/><Relationship Id="rId20" Type="http://schemas.openxmlformats.org/officeDocument/2006/relationships/image" Target="media/image7.wmf"/><Relationship Id="rId41"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DD49A1-0C0E-4EC7-8419-6146FFA37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3</Pages>
  <Words>745</Words>
  <Characters>4251</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Admini</cp:lastModifiedBy>
  <cp:revision>11</cp:revision>
  <cp:lastPrinted>2017-09-11T11:14:00Z</cp:lastPrinted>
  <dcterms:created xsi:type="dcterms:W3CDTF">2017-10-01T04:49:00Z</dcterms:created>
  <dcterms:modified xsi:type="dcterms:W3CDTF">2018-02-17T02:51:00Z</dcterms:modified>
  <cp:category/>
</cp:coreProperties>
</file>